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979E4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CC1406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 Việt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, 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ôi xin đăng ký tham gia đấu 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: 1000m2 (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200m2 ONT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800m2 CLN)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: 343,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100,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nông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dài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trông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31/12/2048,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CB 077149,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: CS 000474/CL do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16/5/2019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Ngọc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Hổ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Thảo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Mập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cũ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chỉnh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trang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04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20/01/2020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Võ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Liêm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Trần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Nguyệt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QSDĐ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000364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Phạm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Nhã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11/01/2022.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tọa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thô</w:t>
      </w:r>
      <w:bookmarkStart w:id="0" w:name="_GoBack"/>
      <w:bookmarkEnd w:id="0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2,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Mập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2,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CC1406" w:rsidRPr="00CC1406" w:rsidRDefault="009A65CA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iá khởi điểm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1.438.065.882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lăm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6E46F7" w:rsidRPr="00EE4BD1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CC1406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1" w:name="_Hlk10192385"/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nhậ</w:t>
      </w:r>
      <w:r w:rsidR="006E46F7">
        <w:rPr>
          <w:rFonts w:ascii="Times New Roman" w:hAnsi="Times New Roman" w:cs="Times New Roman"/>
          <w:color w:val="000000"/>
          <w:sz w:val="26"/>
          <w:szCs w:val="26"/>
        </w:rPr>
        <w:t>p</w:t>
      </w:r>
      <w:proofErr w:type="spellEnd"/>
      <w:r w:rsid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E4BD1" w:rsidRPr="00EE4BD1">
        <w:rPr>
          <w:rFonts w:ascii="Times New Roman" w:hAnsi="Times New Roman" w:cs="Times New Roman"/>
          <w:color w:val="000000"/>
          <w:sz w:val="26"/>
          <w:szCs w:val="26"/>
        </w:rPr>
        <w:t>287.000.000 đồng (Hai trăm tám mươi bảy triệu đồng</w:t>
      </w:r>
      <w:r w:rsidR="00EE4BD1" w:rsidRPr="00395DAD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Sau khi đấu giá xong (nếu không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111F1"/>
    <w:rsid w:val="00226BEE"/>
    <w:rsid w:val="00251F5D"/>
    <w:rsid w:val="00252854"/>
    <w:rsid w:val="002B43C9"/>
    <w:rsid w:val="00395DAD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6E46F7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EE4BD1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0CE2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74</cp:revision>
  <cp:lastPrinted>2026-03-02T03:21:00Z</cp:lastPrinted>
  <dcterms:created xsi:type="dcterms:W3CDTF">2020-12-28T01:31:00Z</dcterms:created>
  <dcterms:modified xsi:type="dcterms:W3CDTF">2026-05-28T08:13:00Z</dcterms:modified>
</cp:coreProperties>
</file>